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3F67" w14:textId="508F4DFB" w:rsidR="00B123FF" w:rsidRPr="00455A3C" w:rsidRDefault="00E151D6" w:rsidP="00F60A53">
      <w:pPr>
        <w:pStyle w:val="F2-zkladn"/>
        <w:spacing w:line="276" w:lineRule="auto"/>
        <w:rPr>
          <w:b/>
          <w:sz w:val="28"/>
          <w:szCs w:val="28"/>
        </w:rPr>
      </w:pPr>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2271569B"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352D8D">
        <w:t>21</w:t>
      </w:r>
      <w:r w:rsidR="005420B4" w:rsidRPr="00893890">
        <w:t>.</w:t>
      </w:r>
      <w:r w:rsidR="00296EFF">
        <w:t xml:space="preserve"> </w:t>
      </w:r>
      <w:r w:rsidR="006E5C5D">
        <w:t>ledna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75349DD5" w14:textId="2415F283" w:rsidR="004D79D4" w:rsidRDefault="009F1649" w:rsidP="00352D8D">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w:t>
      </w:r>
      <w:r w:rsidR="005F4989">
        <w:rPr>
          <w:rStyle w:val="normaltextrun"/>
          <w:rFonts w:ascii="Arial" w:hAnsi="Arial" w:cs="Arial"/>
          <w:b/>
          <w:bCs/>
          <w:color w:val="000000"/>
          <w:sz w:val="28"/>
          <w:szCs w:val="28"/>
          <w:lang w:val="cs-CZ"/>
        </w:rPr>
        <w:t xml:space="preserve">national: </w:t>
      </w:r>
      <w:r w:rsidR="00352D8D">
        <w:rPr>
          <w:rStyle w:val="normaltextrun"/>
          <w:rFonts w:ascii="Arial" w:hAnsi="Arial" w:cs="Arial"/>
          <w:b/>
          <w:bCs/>
          <w:color w:val="000000"/>
          <w:sz w:val="28"/>
          <w:szCs w:val="28"/>
          <w:lang w:val="cs-CZ"/>
        </w:rPr>
        <w:t>Přístup k silným akciovým trhům díky kvalitním hodnotovým ETF</w:t>
      </w:r>
    </w:p>
    <w:p w14:paraId="61504C6E" w14:textId="15AB6925" w:rsidR="00DA3B92" w:rsidRPr="00755878" w:rsidRDefault="00352D8D" w:rsidP="00755878">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Nedávné zlepšení makroekonomického prostředí vedlo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International ke zvýšení dlouhodobých očekávání ohledně výnosů z akcií. Vysoké ocenění zůstává v některých částech trhu rizikem. Investoři by proto měli zvážit fondy </w:t>
      </w:r>
      <w:proofErr w:type="spellStart"/>
      <w:r>
        <w:rPr>
          <w:rFonts w:asciiTheme="minorHAnsi" w:hAnsiTheme="minorHAnsi" w:cstheme="minorHAnsi"/>
          <w:b/>
          <w:bCs/>
          <w:sz w:val="24"/>
          <w:szCs w:val="24"/>
        </w:rPr>
        <w:t>Quality</w:t>
      </w:r>
      <w:proofErr w:type="spellEnd"/>
      <w:r>
        <w:rPr>
          <w:rFonts w:asciiTheme="minorHAnsi" w:hAnsiTheme="minorHAnsi" w:cstheme="minorHAnsi"/>
          <w:b/>
          <w:bCs/>
          <w:sz w:val="24"/>
          <w:szCs w:val="24"/>
        </w:rPr>
        <w:t xml:space="preserve"> </w:t>
      </w:r>
      <w:proofErr w:type="spellStart"/>
      <w:r>
        <w:rPr>
          <w:rFonts w:asciiTheme="minorHAnsi" w:hAnsiTheme="minorHAnsi" w:cstheme="minorHAnsi"/>
          <w:b/>
          <w:bCs/>
          <w:sz w:val="24"/>
          <w:szCs w:val="24"/>
        </w:rPr>
        <w:t>Value</w:t>
      </w:r>
      <w:proofErr w:type="spellEnd"/>
      <w:r>
        <w:rPr>
          <w:rFonts w:asciiTheme="minorHAnsi" w:hAnsiTheme="minorHAnsi" w:cstheme="minorHAnsi"/>
          <w:b/>
          <w:bCs/>
          <w:sz w:val="24"/>
          <w:szCs w:val="24"/>
        </w:rPr>
        <w:t xml:space="preserve"> ETF, které se snaží zachytit růst akciových trhů prostřednictvím diferencovaného přístupu k hodnotovému investování. </w:t>
      </w:r>
    </w:p>
    <w:p w14:paraId="7608E6D7" w14:textId="77050268" w:rsidR="00352D8D" w:rsidRPr="008E2819" w:rsidRDefault="00352D8D" w:rsidP="00352D8D">
      <w:pPr>
        <w:pStyle w:val="Odstavecseseznamem"/>
        <w:numPr>
          <w:ilvl w:val="0"/>
          <w:numId w:val="46"/>
        </w:numPr>
        <w:spacing w:line="360" w:lineRule="auto"/>
      </w:pPr>
      <w:r>
        <w:t xml:space="preserve">Fondy </w:t>
      </w:r>
      <w:proofErr w:type="spellStart"/>
      <w:r>
        <w:t>Fidelity</w:t>
      </w:r>
      <w:proofErr w:type="spellEnd"/>
      <w:r>
        <w:t xml:space="preserve"> International </w:t>
      </w:r>
      <w:proofErr w:type="spellStart"/>
      <w:r>
        <w:t>Quality</w:t>
      </w:r>
      <w:proofErr w:type="spellEnd"/>
      <w:r>
        <w:t xml:space="preserve"> </w:t>
      </w:r>
      <w:proofErr w:type="spellStart"/>
      <w:r>
        <w:t>Value</w:t>
      </w:r>
      <w:proofErr w:type="spellEnd"/>
      <w:r>
        <w:t xml:space="preserve"> ETF jsou navrženy tak, aby fungovaly jako regionální akciové bloky, z nichž lze s ohledem na nákladovou efektivnost, stavět v rámci širších strategií alokace aktiv nebo je lze využít jako samostatná portfolia zaměřená na hodnotu a výsledky.</w:t>
      </w:r>
      <w:r>
        <w:br/>
      </w:r>
    </w:p>
    <w:p w14:paraId="022EFA20" w14:textId="6A664E4C" w:rsidR="00154229" w:rsidRDefault="00352D8D" w:rsidP="00352D8D">
      <w:pPr>
        <w:pStyle w:val="Odstavecseseznamem"/>
        <w:numPr>
          <w:ilvl w:val="0"/>
          <w:numId w:val="46"/>
        </w:numPr>
        <w:spacing w:line="360" w:lineRule="auto"/>
      </w:pPr>
      <w:r>
        <w:t xml:space="preserve">Využívají zdokonalenou, vlastní definici „hodnoty“, která zohledňuje i vliv takových aktiv, na která si nejde „sáhnout“, jako je výzkum a vývoj. Lépe reflektují moderní síly podporující hodnotu podniku, a zároveň se zaměřují na vysoce kvalitní společnosti tak, aby poskytly další vrstvu ochrany před rizikem a vyhnuly se „hodnotovým pastem“. </w:t>
      </w:r>
    </w:p>
    <w:p w14:paraId="518441B2" w14:textId="77777777" w:rsidR="00352D8D" w:rsidRPr="008E2819" w:rsidRDefault="00352D8D" w:rsidP="00352D8D">
      <w:pPr>
        <w:pStyle w:val="Odstavecseseznamem"/>
        <w:spacing w:line="360" w:lineRule="auto"/>
      </w:pPr>
    </w:p>
    <w:p w14:paraId="2CDEB964" w14:textId="2B4C08E6" w:rsidR="00154229" w:rsidRPr="008E2819" w:rsidRDefault="00352D8D" w:rsidP="00352D8D">
      <w:pPr>
        <w:pStyle w:val="Odstavecseseznamem"/>
        <w:numPr>
          <w:ilvl w:val="0"/>
          <w:numId w:val="46"/>
        </w:numPr>
        <w:spacing w:line="360" w:lineRule="auto"/>
      </w:pPr>
      <w:r>
        <w:t xml:space="preserve">Kontrolují expozici vůči sektorům a zemím, aby se vyhnuly nežádoucím zkreslením v závislosti na tržních </w:t>
      </w:r>
      <w:proofErr w:type="spellStart"/>
      <w:r>
        <w:t>makrofaktorech</w:t>
      </w:r>
      <w:proofErr w:type="spellEnd"/>
      <w:r>
        <w:t xml:space="preserve"> a omezily </w:t>
      </w:r>
      <w:r w:rsidR="0090004B">
        <w:t>chyby ve sledování a zároveň zmírnily rizika koncentrace trhu.</w:t>
      </w:r>
    </w:p>
    <w:p w14:paraId="15E811DD" w14:textId="77777777" w:rsidR="0090004B" w:rsidRDefault="0090004B" w:rsidP="0090004B">
      <w:pPr>
        <w:spacing w:line="360" w:lineRule="auto"/>
      </w:pPr>
      <w:r>
        <w:t xml:space="preserve">Makroekonomický výhled se zlepšil po výsledku prezidentských voleb v USA a po rozhodnutí Číny posílit svojí stimulaci růstu, tak jak bylo slíbeno dříve, což vedlo k rozsáhlé revizi zisků ve většině regionů, a to směrem k lepšímu. </w:t>
      </w:r>
    </w:p>
    <w:p w14:paraId="6C3529E8" w14:textId="70A44104" w:rsidR="0090004B" w:rsidRPr="0090004B" w:rsidRDefault="0090004B" w:rsidP="00154229">
      <w:pPr>
        <w:spacing w:line="360" w:lineRule="auto"/>
        <w:rPr>
          <w:rFonts w:asciiTheme="minorHAnsi" w:hAnsiTheme="minorHAnsi" w:cstheme="minorHAnsi"/>
          <w:b/>
          <w:bCs/>
          <w:sz w:val="24"/>
          <w:szCs w:val="24"/>
        </w:rPr>
      </w:pPr>
      <w:r>
        <w:rPr>
          <w:rFonts w:asciiTheme="minorHAnsi" w:hAnsiTheme="minorHAnsi" w:cstheme="minorHAnsi"/>
          <w:b/>
          <w:bCs/>
          <w:sz w:val="24"/>
          <w:szCs w:val="24"/>
        </w:rPr>
        <w:t>Využití „Trumpova efektu“</w:t>
      </w:r>
    </w:p>
    <w:p w14:paraId="518A93E1" w14:textId="77777777" w:rsidR="0090004B" w:rsidRDefault="0090004B" w:rsidP="0090004B">
      <w:pPr>
        <w:spacing w:line="360" w:lineRule="auto"/>
      </w:pPr>
      <w:r>
        <w:t>Snížení daní, deregulace a obchodní protekcionismus jsou některé z očekávaných důsledků nástupu Donalda Trumpa do funkce prezidenta USA. To má potenciál podpořit očekávání u mnoha podniků, což posílí výhled akciových trhů, nicméně širší makroekonomické důsledky mohou představovat i určité výzvy. Například silnější fiskální výdaje a cla by mohly vést k vyšší inflaci a úrokovým sazbám, což by zase mohlo negativně ovlivnit ocenění akcií a ziskovost nekvalitních a zadlužených podniků.</w:t>
      </w:r>
    </w:p>
    <w:p w14:paraId="6E138FEE" w14:textId="77777777" w:rsidR="0090004B" w:rsidRDefault="0090004B" w:rsidP="0090004B">
      <w:pPr>
        <w:spacing w:line="360" w:lineRule="auto"/>
      </w:pPr>
      <w:r>
        <w:lastRenderedPageBreak/>
        <w:t>Je pozoruhodné, že Fed na prosincovém zasedání nastolil víc jestřábí tón a trhy nyní počítají s menším počtem snížení sazeb do konce roku 2025. Vzhledem ke zvýšeným geopolitickým rizikům bychom proto mohli být svědky většího rozdělení výnosů na akciových trzích, takže pro investory bude důležité využívat rizikově orientované strategie s potenciálem zachytit růst akcií a zároveň se orientovat v přetrvávající ekonomické nejistotě.</w:t>
      </w:r>
    </w:p>
    <w:p w14:paraId="575BF650" w14:textId="3DA36F93" w:rsidR="0090004B" w:rsidRPr="0090004B" w:rsidRDefault="0090004B" w:rsidP="0090004B">
      <w:pPr>
        <w:spacing w:line="360" w:lineRule="auto"/>
        <w:rPr>
          <w:rFonts w:asciiTheme="minorHAnsi" w:hAnsiTheme="minorHAnsi" w:cstheme="minorHAnsi"/>
          <w:b/>
          <w:bCs/>
          <w:sz w:val="24"/>
          <w:szCs w:val="24"/>
        </w:rPr>
      </w:pPr>
      <w:r>
        <w:rPr>
          <w:rFonts w:asciiTheme="minorHAnsi" w:hAnsiTheme="minorHAnsi" w:cstheme="minorHAnsi"/>
          <w:b/>
          <w:bCs/>
          <w:sz w:val="24"/>
          <w:szCs w:val="24"/>
        </w:rPr>
        <w:t>Vyhnout se iracionálnímu přehánění</w:t>
      </w:r>
    </w:p>
    <w:p w14:paraId="7B895087" w14:textId="77777777" w:rsidR="0090004B" w:rsidRDefault="0090004B" w:rsidP="0090004B">
      <w:pPr>
        <w:spacing w:line="360" w:lineRule="auto"/>
      </w:pPr>
      <w:r>
        <w:t xml:space="preserve">Je také důležité si uvědomit, že ocenění akciových trhů se v některých oblastech zvýšilo, zejména v některých oblastech USA, kde se vedoucí postavení na trhu v poslední době soustředilo do několika akcií </w:t>
      </w:r>
      <w:proofErr w:type="spellStart"/>
      <w:r>
        <w:t>megacaps</w:t>
      </w:r>
      <w:proofErr w:type="spellEnd"/>
      <w:r>
        <w:t>. Vzhledem k tomu, že akcie z USA tvoří většinu rozvinutého světového akciového trhu (podle kapitalizace je to více než 70 % na začátku roku 2025), mohla by tato komprese komplikovat globální akciové výnosy. Vyhnout se tomuto riziku by proto mělo být klíčovým hlediskem v alokaci aktiv při posuzování možností pořízení akcií.</w:t>
      </w:r>
    </w:p>
    <w:p w14:paraId="152A3E40" w14:textId="77777777" w:rsidR="0090004B" w:rsidRDefault="0090004B" w:rsidP="0090004B">
      <w:pPr>
        <w:spacing w:line="360" w:lineRule="auto"/>
      </w:pPr>
      <w:r>
        <w:t>Ti, kteří se chtějí chránit před možnou kompresí, by se měli poohlédnout po strategiích, které pozorují indexy vážené tržní kapitalizací, protože ty ze své podstaty převažují drahé akcie. Domníváme se, že je namísto toho vhodné zvolit prozíravější přístup, který se zaměří na atraktivně oceněné společnosti a omezí expozici v oblastech, kde se vyšplhala úroveň ocenění na potenciálně nadměrnou úroveň.</w:t>
      </w:r>
    </w:p>
    <w:p w14:paraId="640D5E24" w14:textId="27066697" w:rsidR="0090004B" w:rsidRPr="0090004B" w:rsidRDefault="0090004B" w:rsidP="0090004B">
      <w:pPr>
        <w:spacing w:line="360" w:lineRule="auto"/>
        <w:rPr>
          <w:rFonts w:asciiTheme="minorHAnsi" w:hAnsiTheme="minorHAnsi" w:cstheme="minorHAnsi"/>
          <w:b/>
          <w:bCs/>
          <w:sz w:val="24"/>
          <w:szCs w:val="24"/>
        </w:rPr>
      </w:pPr>
      <w:r>
        <w:rPr>
          <w:rFonts w:asciiTheme="minorHAnsi" w:hAnsiTheme="minorHAnsi" w:cstheme="minorHAnsi"/>
          <w:b/>
          <w:bCs/>
          <w:sz w:val="24"/>
          <w:szCs w:val="24"/>
        </w:rPr>
        <w:t>Překonání nedostatečné výkonnosti hodnotového faktoru</w:t>
      </w:r>
    </w:p>
    <w:p w14:paraId="300267BD" w14:textId="77777777" w:rsidR="0090004B" w:rsidRDefault="0090004B" w:rsidP="0090004B">
      <w:pPr>
        <w:spacing w:line="360" w:lineRule="auto"/>
      </w:pPr>
      <w:r>
        <w:t>Vyhýbání se nadhodnoceným akciím je sice logické, ale je také důležité si uvědomit, že tradiční hodnotové strategie v posledních letech obecně nedosahovaly lepších výsledků než širší akciový trh. Částečně i proto, že technologické inovace, změna chování spotřebitelů a následné narušení u některých odvětví prospěly společnostem, které významně investovaly do výzkumu a vývoje, aby mohly dál rozvíjet své podnikání.</w:t>
      </w:r>
    </w:p>
    <w:p w14:paraId="18B479B2" w14:textId="77777777" w:rsidR="0090004B" w:rsidRDefault="0090004B" w:rsidP="0090004B">
      <w:pPr>
        <w:spacing w:line="360" w:lineRule="auto"/>
      </w:pPr>
      <w:r>
        <w:t>To se odráží v rychlém růstu výdajů na výzkum a vývoj za posledních 20 let, které vynaložilo mnoho současných předních podniků (obrázek 1). Tyto firmy by se v tradičních hodnotových hodnoceních obvykle zobrazovaly hůře, právě proto, že mají velké investiční výdaje.</w:t>
      </w:r>
    </w:p>
    <w:p w14:paraId="39BBAA2F" w14:textId="77777777" w:rsidR="0090004B" w:rsidRDefault="0090004B" w:rsidP="0090004B">
      <w:pPr>
        <w:spacing w:line="360" w:lineRule="auto"/>
      </w:pPr>
      <w:r>
        <w:t>To neznamená, že hodnotové investování je mrtvé; hodnotoví investoři by se ale měli spíš snažit identifikovat nehmotné faktory hodnoty firem, a zohlednit je ve svých investičních procesech. Jedním ze způsobů, jak toho dosáhnout, je ocenit, kapitalizovat a amortizovat hodnotu nehmotných aktiv výzkumu a vývoje v rámci širších hodnotových hodnocení (např. výpočty poměru EBITDA k hodnotě podniku, účetní hodnoty k ceně a budoucího zisku k ceně). Tento přístup může odhalit příležitosti ve společnostech, jejichž inovace a následný potenciál dlouhodobého růstu představuje hodnotu už dnes. Může tak překlenout mezeru mezi tradičními hodnotovými a růstovými investičními strategiemi s cílem zvýšit výnosy.</w:t>
      </w:r>
    </w:p>
    <w:p w14:paraId="59ADDB8B" w14:textId="77777777" w:rsidR="004205FB" w:rsidRDefault="004205FB" w:rsidP="004205FB">
      <w:pPr>
        <w:pStyle w:val="F2-zkladn"/>
      </w:pPr>
    </w:p>
    <w:p w14:paraId="337B59C9" w14:textId="55898B2C" w:rsidR="004205FB" w:rsidRPr="004205FB" w:rsidRDefault="00625AA9" w:rsidP="004205FB">
      <w:pPr>
        <w:rPr>
          <w:rFonts w:asciiTheme="minorHAnsi" w:hAnsiTheme="minorHAnsi" w:cstheme="minorHAnsi"/>
          <w:b/>
          <w:bCs/>
          <w:sz w:val="24"/>
          <w:szCs w:val="24"/>
        </w:rPr>
      </w:pPr>
      <w:r w:rsidRPr="00625AA9">
        <w:rPr>
          <w:noProof/>
        </w:rPr>
        <w:lastRenderedPageBreak/>
        <w:drawing>
          <wp:anchor distT="0" distB="0" distL="114300" distR="114300" simplePos="0" relativeHeight="251658240" behindDoc="0" locked="0" layoutInCell="1" allowOverlap="1" wp14:anchorId="32050A1F" wp14:editId="5C3440B8">
            <wp:simplePos x="0" y="0"/>
            <wp:positionH relativeFrom="column">
              <wp:posOffset>-207010</wp:posOffset>
            </wp:positionH>
            <wp:positionV relativeFrom="paragraph">
              <wp:posOffset>358140</wp:posOffset>
            </wp:positionV>
            <wp:extent cx="5759450" cy="2597785"/>
            <wp:effectExtent l="0" t="0" r="0" b="0"/>
            <wp:wrapSquare wrapText="bothSides"/>
            <wp:docPr id="20931684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68427"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2597785"/>
                    </a:xfrm>
                    <a:prstGeom prst="rect">
                      <a:avLst/>
                    </a:prstGeom>
                  </pic:spPr>
                </pic:pic>
              </a:graphicData>
            </a:graphic>
          </wp:anchor>
        </w:drawing>
      </w:r>
      <w:r w:rsidR="004205FB" w:rsidRPr="004205FB">
        <w:rPr>
          <w:rFonts w:asciiTheme="minorHAnsi" w:hAnsiTheme="minorHAnsi" w:cstheme="minorHAnsi"/>
          <w:b/>
          <w:bCs/>
          <w:sz w:val="24"/>
          <w:szCs w:val="24"/>
        </w:rPr>
        <w:t>Obrázek 1: Celosvětové výdaje firem na výzkum a vývoj</w:t>
      </w:r>
    </w:p>
    <w:p w14:paraId="4A57BEC3" w14:textId="22929BBD" w:rsidR="00625AA9" w:rsidRPr="00625AA9" w:rsidRDefault="00625AA9" w:rsidP="00625AA9">
      <w:pPr>
        <w:spacing w:line="240" w:lineRule="auto"/>
        <w:rPr>
          <w:i/>
          <w:iCs/>
          <w:sz w:val="16"/>
          <w:szCs w:val="16"/>
        </w:rPr>
      </w:pPr>
      <w:r w:rsidRPr="00625AA9">
        <w:rPr>
          <w:i/>
          <w:iCs/>
          <w:sz w:val="16"/>
          <w:szCs w:val="16"/>
        </w:rPr>
        <w:t>Pouze pro ilustraci</w:t>
      </w:r>
      <w:r>
        <w:rPr>
          <w:i/>
          <w:iCs/>
          <w:sz w:val="16"/>
          <w:szCs w:val="16"/>
        </w:rPr>
        <w:t xml:space="preserve">. </w:t>
      </w:r>
      <w:r w:rsidRPr="00625AA9">
        <w:rPr>
          <w:i/>
          <w:iCs/>
          <w:sz w:val="16"/>
          <w:szCs w:val="16"/>
        </w:rPr>
        <w:t>Zdroj: WIPO. Data jsou v eurech, měřeno podle směnných kurzů na konci roku 2022.</w:t>
      </w:r>
    </w:p>
    <w:p w14:paraId="246B2F5E" w14:textId="23E9052A" w:rsidR="006D31D9" w:rsidRPr="006D31D9" w:rsidRDefault="006D31D9" w:rsidP="006D31D9">
      <w:pPr>
        <w:rPr>
          <w:rFonts w:asciiTheme="minorHAnsi" w:hAnsiTheme="minorHAnsi" w:cstheme="minorHAnsi"/>
          <w:b/>
          <w:bCs/>
          <w:sz w:val="24"/>
          <w:szCs w:val="24"/>
        </w:rPr>
      </w:pPr>
      <w:r>
        <w:rPr>
          <w:rFonts w:asciiTheme="minorHAnsi" w:hAnsiTheme="minorHAnsi" w:cstheme="minorHAnsi"/>
          <w:b/>
          <w:bCs/>
          <w:sz w:val="24"/>
          <w:szCs w:val="24"/>
        </w:rPr>
        <w:br/>
      </w:r>
      <w:proofErr w:type="spellStart"/>
      <w:r w:rsidRPr="006D31D9">
        <w:rPr>
          <w:rFonts w:asciiTheme="minorHAnsi" w:hAnsiTheme="minorHAnsi" w:cstheme="minorHAnsi"/>
          <w:b/>
          <w:bCs/>
          <w:sz w:val="24"/>
          <w:szCs w:val="24"/>
        </w:rPr>
        <w:t>Fidelity</w:t>
      </w:r>
      <w:proofErr w:type="spellEnd"/>
      <w:r w:rsidRPr="006D31D9">
        <w:rPr>
          <w:rFonts w:asciiTheme="minorHAnsi" w:hAnsiTheme="minorHAnsi" w:cstheme="minorHAnsi"/>
          <w:b/>
          <w:bCs/>
          <w:sz w:val="24"/>
          <w:szCs w:val="24"/>
        </w:rPr>
        <w:t xml:space="preserve"> </w:t>
      </w:r>
      <w:proofErr w:type="spellStart"/>
      <w:r w:rsidRPr="006D31D9">
        <w:rPr>
          <w:rFonts w:asciiTheme="minorHAnsi" w:hAnsiTheme="minorHAnsi" w:cstheme="minorHAnsi"/>
          <w:b/>
          <w:bCs/>
          <w:sz w:val="24"/>
          <w:szCs w:val="24"/>
        </w:rPr>
        <w:t>Quality</w:t>
      </w:r>
      <w:proofErr w:type="spellEnd"/>
      <w:r w:rsidRPr="006D31D9">
        <w:rPr>
          <w:rFonts w:asciiTheme="minorHAnsi" w:hAnsiTheme="minorHAnsi" w:cstheme="minorHAnsi"/>
          <w:b/>
          <w:bCs/>
          <w:sz w:val="24"/>
          <w:szCs w:val="24"/>
        </w:rPr>
        <w:t xml:space="preserve"> </w:t>
      </w:r>
      <w:proofErr w:type="spellStart"/>
      <w:r w:rsidRPr="006D31D9">
        <w:rPr>
          <w:rFonts w:asciiTheme="minorHAnsi" w:hAnsiTheme="minorHAnsi" w:cstheme="minorHAnsi"/>
          <w:b/>
          <w:bCs/>
          <w:sz w:val="24"/>
          <w:szCs w:val="24"/>
        </w:rPr>
        <w:t>Value</w:t>
      </w:r>
      <w:proofErr w:type="spellEnd"/>
      <w:r w:rsidRPr="006D31D9">
        <w:rPr>
          <w:rFonts w:asciiTheme="minorHAnsi" w:hAnsiTheme="minorHAnsi" w:cstheme="minorHAnsi"/>
          <w:b/>
          <w:bCs/>
          <w:sz w:val="24"/>
          <w:szCs w:val="24"/>
        </w:rPr>
        <w:t xml:space="preserve"> ETF: Jedinečný přístup k hodnotovému investování</w:t>
      </w:r>
    </w:p>
    <w:p w14:paraId="39662597" w14:textId="77777777" w:rsidR="006D31D9" w:rsidRDefault="006D31D9" w:rsidP="006D31D9">
      <w:pPr>
        <w:spacing w:line="360" w:lineRule="auto"/>
      </w:pPr>
      <w:r>
        <w:t xml:space="preserve">Naše regionální fondy </w:t>
      </w:r>
      <w:proofErr w:type="spellStart"/>
      <w:r>
        <w:t>Quality</w:t>
      </w:r>
      <w:proofErr w:type="spellEnd"/>
      <w:r>
        <w:t xml:space="preserve"> </w:t>
      </w:r>
      <w:proofErr w:type="spellStart"/>
      <w:r>
        <w:t>Value</w:t>
      </w:r>
      <w:proofErr w:type="spellEnd"/>
      <w:r>
        <w:t xml:space="preserve"> ETF jsou navrženy tak, aby umožnily přístup k robustním dlouhodobým výnosům, které se předpokládají na akciových trzích, a zároveň řešily některé z výše uvedených problémů. K dosažení tohoto cíle využívají fondy vlastní definice hodnotových a kvalitativních faktorů, které jsou podloženy odbornými znalostmi společnosti </w:t>
      </w:r>
      <w:proofErr w:type="spellStart"/>
      <w:r>
        <w:t>Fidelity</w:t>
      </w:r>
      <w:proofErr w:type="spellEnd"/>
      <w:r>
        <w:t>, a to v rámci rizikového rámce orientovaného na výsledky:</w:t>
      </w:r>
    </w:p>
    <w:p w14:paraId="6245A5D3" w14:textId="49F4551B" w:rsidR="006D31D9" w:rsidRPr="00E94F81" w:rsidRDefault="006D31D9" w:rsidP="006D31D9">
      <w:pPr>
        <w:pStyle w:val="Odstavecseseznamem"/>
        <w:numPr>
          <w:ilvl w:val="0"/>
          <w:numId w:val="48"/>
        </w:numPr>
        <w:spacing w:line="360" w:lineRule="auto"/>
      </w:pPr>
      <w:r>
        <w:t xml:space="preserve">Vylepšená definice „hodnoty“: Naše fondy ETF </w:t>
      </w:r>
      <w:proofErr w:type="spellStart"/>
      <w:r>
        <w:t>Quality</w:t>
      </w:r>
      <w:proofErr w:type="spellEnd"/>
      <w:r>
        <w:t xml:space="preserve"> </w:t>
      </w:r>
      <w:proofErr w:type="spellStart"/>
      <w:r>
        <w:t>Value</w:t>
      </w:r>
      <w:proofErr w:type="spellEnd"/>
      <w:r>
        <w:t xml:space="preserve"> používají vlastní definici hodnotového faktoru. Ta zohledňuje vliv nehmotných aktiv, jako je třeba výzkum a vývoj, aby lépe odrážela moderní faktory hodnoty podniku. Jednoduchý zpětný test mezi lety 1995 a koncem roku 2023 ukazuje, že portfolio složené z nejvyššího </w:t>
      </w:r>
      <w:proofErr w:type="spellStart"/>
      <w:r>
        <w:t>kvintilu</w:t>
      </w:r>
      <w:proofErr w:type="spellEnd"/>
      <w:r>
        <w:t xml:space="preserve"> hodnotových akcií v indexu MSCI </w:t>
      </w:r>
      <w:proofErr w:type="spellStart"/>
      <w:r>
        <w:t>World</w:t>
      </w:r>
      <w:proofErr w:type="spellEnd"/>
      <w:r>
        <w:t xml:space="preserve"> s použitím této definice vede k vyšším výnosům v porovnání s širokým indexem v delším časovém horizontu. Doprovází ho však nárůst volatility (obrázek 2).</w:t>
      </w:r>
    </w:p>
    <w:p w14:paraId="6291FD06" w14:textId="35458ACF" w:rsidR="00F10AC6" w:rsidRPr="00F10AC6" w:rsidRDefault="00F10AC6" w:rsidP="00F10AC6">
      <w:pPr>
        <w:pStyle w:val="F2-zkladn"/>
      </w:pPr>
    </w:p>
    <w:p w14:paraId="3D510738" w14:textId="77777777" w:rsidR="006D31D9" w:rsidRDefault="006D31D9" w:rsidP="006D31D9">
      <w:pPr>
        <w:rPr>
          <w:rFonts w:asciiTheme="minorHAnsi" w:hAnsiTheme="minorHAnsi" w:cstheme="minorHAnsi"/>
          <w:b/>
          <w:bCs/>
          <w:sz w:val="24"/>
          <w:szCs w:val="24"/>
        </w:rPr>
      </w:pPr>
    </w:p>
    <w:p w14:paraId="4755BEBC" w14:textId="77777777" w:rsidR="006D31D9" w:rsidRDefault="006D31D9" w:rsidP="006D31D9">
      <w:pPr>
        <w:pStyle w:val="F2-zkladn"/>
      </w:pPr>
    </w:p>
    <w:p w14:paraId="223EA356" w14:textId="77777777" w:rsidR="006D31D9" w:rsidRDefault="006D31D9" w:rsidP="006D31D9">
      <w:pPr>
        <w:pStyle w:val="F2-zkladn"/>
      </w:pPr>
    </w:p>
    <w:p w14:paraId="00EEBE7B" w14:textId="77777777" w:rsidR="006D31D9" w:rsidRDefault="006D31D9" w:rsidP="006D31D9">
      <w:pPr>
        <w:pStyle w:val="F2-zkladn"/>
      </w:pPr>
    </w:p>
    <w:p w14:paraId="555830DC" w14:textId="77777777" w:rsidR="006D31D9" w:rsidRPr="006D31D9" w:rsidRDefault="006D31D9" w:rsidP="006D31D9">
      <w:pPr>
        <w:pStyle w:val="F2-zkladn"/>
      </w:pPr>
    </w:p>
    <w:p w14:paraId="4A69AEFE" w14:textId="77777777" w:rsidR="006D31D9" w:rsidRDefault="006D31D9" w:rsidP="006D31D9">
      <w:pPr>
        <w:rPr>
          <w:rFonts w:asciiTheme="minorHAnsi" w:hAnsiTheme="minorHAnsi" w:cstheme="minorHAnsi"/>
          <w:b/>
          <w:bCs/>
          <w:sz w:val="24"/>
          <w:szCs w:val="24"/>
        </w:rPr>
      </w:pPr>
    </w:p>
    <w:p w14:paraId="56527392" w14:textId="201D211D" w:rsidR="006D31D9" w:rsidRPr="006D31D9" w:rsidRDefault="006D31D9" w:rsidP="006D31D9">
      <w:pPr>
        <w:rPr>
          <w:rFonts w:asciiTheme="minorHAnsi" w:hAnsiTheme="minorHAnsi" w:cstheme="minorHAnsi"/>
          <w:b/>
          <w:bCs/>
          <w:sz w:val="24"/>
          <w:szCs w:val="24"/>
        </w:rPr>
      </w:pPr>
      <w:r w:rsidRPr="006D31D9">
        <w:rPr>
          <w:rFonts w:asciiTheme="minorHAnsi" w:hAnsiTheme="minorHAnsi" w:cstheme="minorHAnsi"/>
          <w:b/>
          <w:bCs/>
          <w:sz w:val="24"/>
          <w:szCs w:val="24"/>
        </w:rPr>
        <w:lastRenderedPageBreak/>
        <w:t>Obrázek 2: Zpětné testování výkonnosti našeho vlastního hodnotového faktoru</w:t>
      </w:r>
    </w:p>
    <w:p w14:paraId="7A5A6898" w14:textId="77777777" w:rsidR="006D31D9" w:rsidRDefault="006D31D9" w:rsidP="002027ED">
      <w:pPr>
        <w:shd w:val="clear" w:color="auto" w:fill="FFFFFF"/>
        <w:spacing w:before="0" w:line="360" w:lineRule="atLeast"/>
        <w:rPr>
          <w:b/>
          <w:bCs/>
        </w:rPr>
      </w:pPr>
      <w:r w:rsidRPr="006D31D9">
        <w:rPr>
          <w:noProof/>
        </w:rPr>
        <w:drawing>
          <wp:inline distT="0" distB="0" distL="0" distR="0" wp14:anchorId="5C3ED5CB" wp14:editId="5F3DB741">
            <wp:extent cx="5759450" cy="1713230"/>
            <wp:effectExtent l="0" t="0" r="0" b="1270"/>
            <wp:docPr id="12691192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119284" name=""/>
                    <pic:cNvPicPr/>
                  </pic:nvPicPr>
                  <pic:blipFill>
                    <a:blip r:embed="rId13"/>
                    <a:stretch>
                      <a:fillRect/>
                    </a:stretch>
                  </pic:blipFill>
                  <pic:spPr>
                    <a:xfrm>
                      <a:off x="0" y="0"/>
                      <a:ext cx="5759450" cy="1713230"/>
                    </a:xfrm>
                    <a:prstGeom prst="rect">
                      <a:avLst/>
                    </a:prstGeom>
                  </pic:spPr>
                </pic:pic>
              </a:graphicData>
            </a:graphic>
          </wp:inline>
        </w:drawing>
      </w:r>
    </w:p>
    <w:p w14:paraId="53F3268E" w14:textId="2CE1C59E" w:rsidR="006D31D9" w:rsidRDefault="006D31D9" w:rsidP="006D31D9">
      <w:pPr>
        <w:rPr>
          <w:i/>
          <w:iCs/>
          <w:sz w:val="16"/>
          <w:szCs w:val="16"/>
        </w:rPr>
      </w:pPr>
      <w:r w:rsidRPr="006D31D9">
        <w:rPr>
          <w:i/>
          <w:iCs/>
          <w:sz w:val="16"/>
          <w:szCs w:val="16"/>
        </w:rPr>
        <w:t>Simulovaná výkonnost není spolehlivým ukazatelem budoucích výnosů. Pouze pro ilustrační účely.</w:t>
      </w:r>
      <w:r>
        <w:rPr>
          <w:i/>
          <w:iCs/>
          <w:sz w:val="16"/>
          <w:szCs w:val="16"/>
        </w:rPr>
        <w:t xml:space="preserve"> </w:t>
      </w:r>
      <w:r w:rsidRPr="006D31D9">
        <w:rPr>
          <w:i/>
          <w:iCs/>
          <w:sz w:val="16"/>
          <w:szCs w:val="16"/>
        </w:rPr>
        <w:t>Simulované výnosy v USD. Zpětný test v období 29. 12. 1995 - 29. 12. 2023 s</w:t>
      </w:r>
      <w:r>
        <w:rPr>
          <w:i/>
          <w:iCs/>
          <w:sz w:val="16"/>
          <w:szCs w:val="16"/>
        </w:rPr>
        <w:t> </w:t>
      </w:r>
      <w:r w:rsidRPr="006D31D9">
        <w:rPr>
          <w:i/>
          <w:iCs/>
          <w:sz w:val="16"/>
          <w:szCs w:val="16"/>
        </w:rPr>
        <w:t>využitím</w:t>
      </w:r>
      <w:r>
        <w:rPr>
          <w:i/>
          <w:iCs/>
          <w:sz w:val="16"/>
          <w:szCs w:val="16"/>
        </w:rPr>
        <w:t xml:space="preserve"> </w:t>
      </w:r>
      <w:r w:rsidRPr="006D31D9">
        <w:rPr>
          <w:i/>
          <w:iCs/>
          <w:sz w:val="16"/>
          <w:szCs w:val="16"/>
        </w:rPr>
        <w:t xml:space="preserve">indexu MSCI </w:t>
      </w:r>
      <w:proofErr w:type="spellStart"/>
      <w:r w:rsidRPr="006D31D9">
        <w:rPr>
          <w:i/>
          <w:iCs/>
          <w:sz w:val="16"/>
          <w:szCs w:val="16"/>
        </w:rPr>
        <w:t>World</w:t>
      </w:r>
      <w:proofErr w:type="spellEnd"/>
      <w:r w:rsidRPr="006D31D9">
        <w:rPr>
          <w:i/>
          <w:iCs/>
          <w:sz w:val="16"/>
          <w:szCs w:val="16"/>
        </w:rPr>
        <w:t xml:space="preserve">. Kvantil 1 představuje akcie s nejvyšším hodnotovým skóre podle definice společnosti </w:t>
      </w:r>
      <w:proofErr w:type="spellStart"/>
      <w:r w:rsidRPr="006D31D9">
        <w:rPr>
          <w:i/>
          <w:iCs/>
          <w:sz w:val="16"/>
          <w:szCs w:val="16"/>
        </w:rPr>
        <w:t>Fidelity</w:t>
      </w:r>
      <w:proofErr w:type="spellEnd"/>
      <w:r w:rsidRPr="006D31D9">
        <w:rPr>
          <w:i/>
          <w:iCs/>
          <w:sz w:val="16"/>
          <w:szCs w:val="16"/>
        </w:rPr>
        <w:t xml:space="preserve">. Akcie v kvantilových portfoliích byly váženy tržní kapitalizací a každoročně </w:t>
      </w:r>
      <w:proofErr w:type="spellStart"/>
      <w:r w:rsidRPr="006D31D9">
        <w:rPr>
          <w:i/>
          <w:iCs/>
          <w:sz w:val="16"/>
          <w:szCs w:val="16"/>
        </w:rPr>
        <w:t>rebalancovány</w:t>
      </w:r>
      <w:proofErr w:type="spellEnd"/>
      <w:r w:rsidRPr="006D31D9">
        <w:rPr>
          <w:i/>
          <w:iCs/>
          <w:sz w:val="16"/>
          <w:szCs w:val="16"/>
        </w:rPr>
        <w:t xml:space="preserve">. Zdroj: </w:t>
      </w:r>
      <w:proofErr w:type="spellStart"/>
      <w:r w:rsidRPr="006D31D9">
        <w:rPr>
          <w:i/>
          <w:iCs/>
          <w:sz w:val="16"/>
          <w:szCs w:val="16"/>
        </w:rPr>
        <w:t>Fidelity</w:t>
      </w:r>
      <w:proofErr w:type="spellEnd"/>
      <w:r w:rsidRPr="006D31D9">
        <w:rPr>
          <w:i/>
          <w:iCs/>
          <w:sz w:val="16"/>
          <w:szCs w:val="16"/>
        </w:rPr>
        <w:t xml:space="preserve"> International, 31. prosince 2024.</w:t>
      </w:r>
    </w:p>
    <w:p w14:paraId="2F9CBFFC" w14:textId="4FFEF02A" w:rsidR="004B3E14" w:rsidRDefault="004B3E14" w:rsidP="004B3E14">
      <w:pPr>
        <w:pStyle w:val="Odstavecseseznamem"/>
        <w:numPr>
          <w:ilvl w:val="0"/>
          <w:numId w:val="48"/>
        </w:numPr>
        <w:spacing w:line="360" w:lineRule="auto"/>
      </w:pPr>
      <w:r>
        <w:t xml:space="preserve">Zaměření se na vysoce kvalitní společnosti: Uvědomujeme si, že nízké ocenění může jen odrážet fundamentální slabost akcií v „pasti hodnoty“. Takové akcie nejsou schopny zajistit atraktivní výnosy. Abychom proti tomu bojovali, používají naše fondy </w:t>
      </w:r>
      <w:proofErr w:type="spellStart"/>
      <w:r>
        <w:t>Quality</w:t>
      </w:r>
      <w:proofErr w:type="spellEnd"/>
      <w:r>
        <w:t xml:space="preserve"> </w:t>
      </w:r>
      <w:proofErr w:type="spellStart"/>
      <w:r>
        <w:t>Value</w:t>
      </w:r>
      <w:proofErr w:type="spellEnd"/>
      <w:r>
        <w:t xml:space="preserve"> ETF vlastní „screening“, který identifikuje vysoce kvalitní společnosti a vylučuje společnosti se špatnými fundamentálními ukazateli (např. z hlediska marží cashflow, návratnosti investovaného kapitálu a stability volných peněžních toků), což také snižuje rizika.</w:t>
      </w:r>
    </w:p>
    <w:p w14:paraId="2D119F9C" w14:textId="6A9889E4" w:rsidR="004B3E14" w:rsidRDefault="004B3E14" w:rsidP="004B3E14">
      <w:pPr>
        <w:pStyle w:val="Odstavecseseznamem"/>
      </w:pPr>
      <w:r>
        <w:t xml:space="preserve">Při kombinaci těchto kvalitativních metod, s naší vlastní hodnotovou definicí, zpětné testy stále vykazují lepší výnosy u nejvyššího </w:t>
      </w:r>
      <w:proofErr w:type="spellStart"/>
      <w:r>
        <w:t>kvintilu</w:t>
      </w:r>
      <w:proofErr w:type="spellEnd"/>
      <w:r>
        <w:t xml:space="preserve"> akcií, avšak s úměrným snížením volatility (na úroveň zhruba odpovídající podkladovému indexu), mírným zlepšením výnosů očištěných o riziko a snížením chyby sledování (obrázek 3).</w:t>
      </w:r>
    </w:p>
    <w:p w14:paraId="5CFEC6F3" w14:textId="2A27E111" w:rsidR="004B3E14" w:rsidRPr="004B3E14" w:rsidRDefault="004B3E14" w:rsidP="004B3E14">
      <w:pPr>
        <w:rPr>
          <w:rFonts w:asciiTheme="minorHAnsi" w:hAnsiTheme="minorHAnsi" w:cstheme="minorHAnsi"/>
          <w:b/>
          <w:bCs/>
          <w:sz w:val="24"/>
          <w:szCs w:val="24"/>
        </w:rPr>
      </w:pPr>
      <w:r w:rsidRPr="004B3E14">
        <w:rPr>
          <w:noProof/>
        </w:rPr>
        <w:drawing>
          <wp:anchor distT="0" distB="0" distL="114300" distR="114300" simplePos="0" relativeHeight="251659264" behindDoc="0" locked="0" layoutInCell="1" allowOverlap="1" wp14:anchorId="5A958206" wp14:editId="2FBF1DDE">
            <wp:simplePos x="0" y="0"/>
            <wp:positionH relativeFrom="column">
              <wp:posOffset>-1270</wp:posOffset>
            </wp:positionH>
            <wp:positionV relativeFrom="paragraph">
              <wp:posOffset>400050</wp:posOffset>
            </wp:positionV>
            <wp:extent cx="5759450" cy="1804035"/>
            <wp:effectExtent l="0" t="0" r="0" b="5715"/>
            <wp:wrapTopAndBottom/>
            <wp:docPr id="162950585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505853" name=""/>
                    <pic:cNvPicPr/>
                  </pic:nvPicPr>
                  <pic:blipFill>
                    <a:blip r:embed="rId14">
                      <a:extLst>
                        <a:ext uri="{28A0092B-C50C-407E-A947-70E740481C1C}">
                          <a14:useLocalDpi xmlns:a14="http://schemas.microsoft.com/office/drawing/2010/main" val="0"/>
                        </a:ext>
                      </a:extLst>
                    </a:blip>
                    <a:stretch>
                      <a:fillRect/>
                    </a:stretch>
                  </pic:blipFill>
                  <pic:spPr>
                    <a:xfrm>
                      <a:off x="0" y="0"/>
                      <a:ext cx="5759450" cy="1804035"/>
                    </a:xfrm>
                    <a:prstGeom prst="rect">
                      <a:avLst/>
                    </a:prstGeom>
                  </pic:spPr>
                </pic:pic>
              </a:graphicData>
            </a:graphic>
          </wp:anchor>
        </w:drawing>
      </w:r>
      <w:r w:rsidRPr="004B3E14">
        <w:rPr>
          <w:rFonts w:asciiTheme="minorHAnsi" w:hAnsiTheme="minorHAnsi" w:cstheme="minorHAnsi"/>
          <w:b/>
          <w:bCs/>
          <w:sz w:val="24"/>
          <w:szCs w:val="24"/>
        </w:rPr>
        <w:t>Obrázek 3: Zpětně testovaná výkonnost včetně vlastních faktorů hodnoty a kvality</w:t>
      </w:r>
    </w:p>
    <w:p w14:paraId="137EEC74" w14:textId="56555FFE" w:rsidR="004B3E14" w:rsidRPr="004B3E14" w:rsidRDefault="004B3E14" w:rsidP="004B3E14">
      <w:pPr>
        <w:rPr>
          <w:i/>
          <w:iCs/>
          <w:sz w:val="16"/>
          <w:szCs w:val="16"/>
        </w:rPr>
      </w:pPr>
      <w:r w:rsidRPr="004B3E14">
        <w:rPr>
          <w:i/>
          <w:iCs/>
          <w:sz w:val="16"/>
          <w:szCs w:val="16"/>
        </w:rPr>
        <w:t>Simulovaná výkonnost není spolehlivým ukazatelem budoucích výnosů. Pouze pro ilustrační účely.</w:t>
      </w:r>
      <w:r>
        <w:rPr>
          <w:i/>
          <w:iCs/>
          <w:sz w:val="16"/>
          <w:szCs w:val="16"/>
        </w:rPr>
        <w:t xml:space="preserve"> </w:t>
      </w:r>
      <w:r w:rsidRPr="004B3E14">
        <w:rPr>
          <w:i/>
          <w:iCs/>
          <w:sz w:val="16"/>
          <w:szCs w:val="16"/>
        </w:rPr>
        <w:t xml:space="preserve">Simulované výnosy v USD. Zpětný test od 29. 12. 1995 do 29. 12. 2023 s použitím MSCI </w:t>
      </w:r>
      <w:proofErr w:type="spellStart"/>
      <w:r w:rsidRPr="004B3E14">
        <w:rPr>
          <w:i/>
          <w:iCs/>
          <w:sz w:val="16"/>
          <w:szCs w:val="16"/>
        </w:rPr>
        <w:t>World</w:t>
      </w:r>
      <w:proofErr w:type="spellEnd"/>
      <w:r w:rsidRPr="004B3E14">
        <w:rPr>
          <w:i/>
          <w:iCs/>
          <w:sz w:val="16"/>
          <w:szCs w:val="16"/>
        </w:rPr>
        <w:t xml:space="preserve">. </w:t>
      </w:r>
      <w:proofErr w:type="spellStart"/>
      <w:r w:rsidRPr="004B3E14">
        <w:rPr>
          <w:i/>
          <w:iCs/>
          <w:sz w:val="16"/>
          <w:szCs w:val="16"/>
        </w:rPr>
        <w:t>Kvintil</w:t>
      </w:r>
      <w:proofErr w:type="spellEnd"/>
      <w:r w:rsidRPr="004B3E14">
        <w:rPr>
          <w:i/>
          <w:iCs/>
          <w:sz w:val="16"/>
          <w:szCs w:val="16"/>
        </w:rPr>
        <w:t xml:space="preserve"> 1 představuje akcie s vyšším skóre kvality a hodnoty, což je definováno jako stejně vážená skóre kvality a hodnoty podle společnosti </w:t>
      </w:r>
      <w:proofErr w:type="spellStart"/>
      <w:r w:rsidRPr="004B3E14">
        <w:rPr>
          <w:i/>
          <w:iCs/>
          <w:sz w:val="16"/>
          <w:szCs w:val="16"/>
        </w:rPr>
        <w:t>Fidelity</w:t>
      </w:r>
      <w:proofErr w:type="spellEnd"/>
      <w:r w:rsidRPr="004B3E14">
        <w:rPr>
          <w:i/>
          <w:iCs/>
          <w:sz w:val="16"/>
          <w:szCs w:val="16"/>
        </w:rPr>
        <w:t xml:space="preserve">. Akcie v </w:t>
      </w:r>
      <w:proofErr w:type="spellStart"/>
      <w:r w:rsidRPr="004B3E14">
        <w:rPr>
          <w:i/>
          <w:iCs/>
          <w:sz w:val="16"/>
          <w:szCs w:val="16"/>
        </w:rPr>
        <w:t>kvintilových</w:t>
      </w:r>
      <w:proofErr w:type="spellEnd"/>
      <w:r w:rsidRPr="004B3E14">
        <w:rPr>
          <w:i/>
          <w:iCs/>
          <w:sz w:val="16"/>
          <w:szCs w:val="16"/>
        </w:rPr>
        <w:t xml:space="preserve"> portfoliích byly váženy tržní kapitalizací a každoročně </w:t>
      </w:r>
      <w:proofErr w:type="spellStart"/>
      <w:r w:rsidRPr="004B3E14">
        <w:rPr>
          <w:i/>
          <w:iCs/>
          <w:sz w:val="16"/>
          <w:szCs w:val="16"/>
        </w:rPr>
        <w:t>rebalancovány</w:t>
      </w:r>
      <w:proofErr w:type="spellEnd"/>
      <w:r w:rsidRPr="004B3E14">
        <w:rPr>
          <w:i/>
          <w:iCs/>
          <w:sz w:val="16"/>
          <w:szCs w:val="16"/>
        </w:rPr>
        <w:t>.</w:t>
      </w:r>
      <w:r>
        <w:rPr>
          <w:i/>
          <w:iCs/>
          <w:sz w:val="16"/>
          <w:szCs w:val="16"/>
        </w:rPr>
        <w:t xml:space="preserve"> </w:t>
      </w:r>
      <w:r w:rsidRPr="004B3E14">
        <w:rPr>
          <w:i/>
          <w:iCs/>
          <w:sz w:val="16"/>
          <w:szCs w:val="16"/>
        </w:rPr>
        <w:t xml:space="preserve">Zdroj: </w:t>
      </w:r>
      <w:proofErr w:type="spellStart"/>
      <w:r w:rsidRPr="004B3E14">
        <w:rPr>
          <w:i/>
          <w:iCs/>
          <w:sz w:val="16"/>
          <w:szCs w:val="16"/>
        </w:rPr>
        <w:t>Fidelity</w:t>
      </w:r>
      <w:proofErr w:type="spellEnd"/>
      <w:r w:rsidRPr="004B3E14">
        <w:rPr>
          <w:i/>
          <w:iCs/>
          <w:sz w:val="16"/>
          <w:szCs w:val="16"/>
        </w:rPr>
        <w:t xml:space="preserve"> International, 31. prosince 2024.</w:t>
      </w:r>
    </w:p>
    <w:p w14:paraId="2A7FC713" w14:textId="55D4CC11" w:rsidR="006D31D9" w:rsidRPr="006D31D9" w:rsidRDefault="006D31D9" w:rsidP="006D31D9">
      <w:pPr>
        <w:pStyle w:val="F2-zkladn"/>
      </w:pPr>
    </w:p>
    <w:p w14:paraId="275E5747" w14:textId="183AFDD0" w:rsidR="006D31D9" w:rsidRPr="006D31D9" w:rsidRDefault="006D31D9" w:rsidP="006D31D9">
      <w:pPr>
        <w:rPr>
          <w:i/>
          <w:iCs/>
          <w:sz w:val="16"/>
          <w:szCs w:val="16"/>
        </w:rPr>
      </w:pPr>
    </w:p>
    <w:p w14:paraId="18ECB0B0" w14:textId="77777777" w:rsidR="0075033D" w:rsidRDefault="00E27D73" w:rsidP="0075033D">
      <w:pPr>
        <w:pStyle w:val="Odstavecseseznamem"/>
        <w:numPr>
          <w:ilvl w:val="0"/>
          <w:numId w:val="48"/>
        </w:numPr>
        <w:spacing w:line="360" w:lineRule="auto"/>
      </w:pPr>
      <w:r>
        <w:lastRenderedPageBreak/>
        <w:t xml:space="preserve">Řízená expozice vůči odvětvím a zemím: Mnoho hodnotových strategií vystavuje investory ze své podstaty potenciálně nežádoucím zkreslením makro faktorů (např. expozice s ohledem na odvětví nebo země) v důsledku rozptylu valuace v různých odvětvích a ekonomikách. Fondy </w:t>
      </w:r>
      <w:proofErr w:type="spellStart"/>
      <w:r>
        <w:t>Fidelity</w:t>
      </w:r>
      <w:proofErr w:type="spellEnd"/>
      <w:r>
        <w:t xml:space="preserve"> International </w:t>
      </w:r>
      <w:proofErr w:type="spellStart"/>
      <w:r>
        <w:t>Quality</w:t>
      </w:r>
      <w:proofErr w:type="spellEnd"/>
      <w:r>
        <w:t xml:space="preserve"> </w:t>
      </w:r>
      <w:proofErr w:type="spellStart"/>
      <w:r>
        <w:t>Value</w:t>
      </w:r>
      <w:proofErr w:type="spellEnd"/>
      <w:r>
        <w:t xml:space="preserve"> ETF však mají zavedeny kontrolní mechanismy pro řízení těchto odchylek, přičemž cílem je minimalizovat chybu sledování (oproti příslušnému indexu S&amp;P). Tento přístup má také pomoci zmírnit rizika koncentrace, která byla v posledních letech zabudována do mnoha akciových indexů, a poskytnout vyváženější expozice z hlediska různých trhů (obrázek 4).</w:t>
      </w:r>
    </w:p>
    <w:p w14:paraId="34105ECE" w14:textId="22F7D680" w:rsidR="0075033D" w:rsidRPr="0075033D" w:rsidRDefault="0075033D" w:rsidP="0075033D">
      <w:pPr>
        <w:spacing w:line="276" w:lineRule="auto"/>
        <w:rPr>
          <w:rFonts w:asciiTheme="minorHAnsi" w:hAnsiTheme="minorHAnsi" w:cstheme="minorHAnsi"/>
          <w:b/>
          <w:bCs/>
          <w:sz w:val="24"/>
          <w:szCs w:val="24"/>
        </w:rPr>
      </w:pPr>
      <w:r w:rsidRPr="0075033D">
        <w:rPr>
          <w:rFonts w:asciiTheme="minorHAnsi" w:hAnsiTheme="minorHAnsi" w:cstheme="minorHAnsi"/>
          <w:b/>
          <w:bCs/>
          <w:sz w:val="24"/>
          <w:szCs w:val="24"/>
        </w:rPr>
        <w:t xml:space="preserve">Obrázek 4: Expozice </w:t>
      </w:r>
      <w:proofErr w:type="spellStart"/>
      <w:r w:rsidRPr="0075033D">
        <w:rPr>
          <w:rFonts w:asciiTheme="minorHAnsi" w:hAnsiTheme="minorHAnsi" w:cstheme="minorHAnsi"/>
          <w:b/>
          <w:bCs/>
          <w:sz w:val="24"/>
          <w:szCs w:val="24"/>
        </w:rPr>
        <w:t>Fidelity</w:t>
      </w:r>
      <w:proofErr w:type="spellEnd"/>
      <w:r w:rsidRPr="0075033D">
        <w:rPr>
          <w:rFonts w:asciiTheme="minorHAnsi" w:hAnsiTheme="minorHAnsi" w:cstheme="minorHAnsi"/>
          <w:b/>
          <w:bCs/>
          <w:sz w:val="24"/>
          <w:szCs w:val="24"/>
        </w:rPr>
        <w:t xml:space="preserve"> </w:t>
      </w:r>
      <w:proofErr w:type="spellStart"/>
      <w:r w:rsidRPr="0075033D">
        <w:rPr>
          <w:rFonts w:asciiTheme="minorHAnsi" w:hAnsiTheme="minorHAnsi" w:cstheme="minorHAnsi"/>
          <w:b/>
          <w:bCs/>
          <w:sz w:val="24"/>
          <w:szCs w:val="24"/>
        </w:rPr>
        <w:t>Global</w:t>
      </w:r>
      <w:proofErr w:type="spellEnd"/>
      <w:r w:rsidRPr="0075033D">
        <w:rPr>
          <w:rFonts w:asciiTheme="minorHAnsi" w:hAnsiTheme="minorHAnsi" w:cstheme="minorHAnsi"/>
          <w:b/>
          <w:bCs/>
          <w:sz w:val="24"/>
          <w:szCs w:val="24"/>
        </w:rPr>
        <w:t xml:space="preserve"> </w:t>
      </w:r>
      <w:proofErr w:type="spellStart"/>
      <w:r w:rsidRPr="0075033D">
        <w:rPr>
          <w:rFonts w:asciiTheme="minorHAnsi" w:hAnsiTheme="minorHAnsi" w:cstheme="minorHAnsi"/>
          <w:b/>
          <w:bCs/>
          <w:sz w:val="24"/>
          <w:szCs w:val="24"/>
        </w:rPr>
        <w:t>Quality</w:t>
      </w:r>
      <w:proofErr w:type="spellEnd"/>
      <w:r w:rsidRPr="0075033D">
        <w:rPr>
          <w:rFonts w:asciiTheme="minorHAnsi" w:hAnsiTheme="minorHAnsi" w:cstheme="minorHAnsi"/>
          <w:b/>
          <w:bCs/>
          <w:sz w:val="24"/>
          <w:szCs w:val="24"/>
        </w:rPr>
        <w:t xml:space="preserve"> </w:t>
      </w:r>
      <w:proofErr w:type="spellStart"/>
      <w:r w:rsidRPr="0075033D">
        <w:rPr>
          <w:rFonts w:asciiTheme="minorHAnsi" w:hAnsiTheme="minorHAnsi" w:cstheme="minorHAnsi"/>
          <w:b/>
          <w:bCs/>
          <w:sz w:val="24"/>
          <w:szCs w:val="24"/>
        </w:rPr>
        <w:t>Value</w:t>
      </w:r>
      <w:proofErr w:type="spellEnd"/>
      <w:r w:rsidRPr="0075033D">
        <w:rPr>
          <w:rFonts w:asciiTheme="minorHAnsi" w:hAnsiTheme="minorHAnsi" w:cstheme="minorHAnsi"/>
          <w:b/>
          <w:bCs/>
          <w:sz w:val="24"/>
          <w:szCs w:val="24"/>
        </w:rPr>
        <w:t xml:space="preserve"> ETF vůči tržní kapitalizaci ve srovnání s indexem MSCI </w:t>
      </w:r>
      <w:proofErr w:type="spellStart"/>
      <w:r w:rsidRPr="0075033D">
        <w:rPr>
          <w:rFonts w:asciiTheme="minorHAnsi" w:hAnsiTheme="minorHAnsi" w:cstheme="minorHAnsi"/>
          <w:b/>
          <w:bCs/>
          <w:sz w:val="24"/>
          <w:szCs w:val="24"/>
        </w:rPr>
        <w:t>World</w:t>
      </w:r>
      <w:proofErr w:type="spellEnd"/>
    </w:p>
    <w:p w14:paraId="2C5ED70F" w14:textId="394473D7" w:rsidR="006D31D9" w:rsidRDefault="0011085D" w:rsidP="002027ED">
      <w:pPr>
        <w:shd w:val="clear" w:color="auto" w:fill="FFFFFF"/>
        <w:spacing w:before="0" w:line="360" w:lineRule="atLeast"/>
        <w:rPr>
          <w:b/>
          <w:bCs/>
        </w:rPr>
      </w:pPr>
      <w:r w:rsidRPr="0011085D">
        <w:rPr>
          <w:b/>
          <w:bCs/>
          <w:noProof/>
        </w:rPr>
        <w:drawing>
          <wp:inline distT="0" distB="0" distL="0" distR="0" wp14:anchorId="121CD4E7" wp14:editId="6092D1FC">
            <wp:extent cx="5759450" cy="2451735"/>
            <wp:effectExtent l="0" t="0" r="0" b="5715"/>
            <wp:docPr id="8496694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669414" name=""/>
                    <pic:cNvPicPr/>
                  </pic:nvPicPr>
                  <pic:blipFill>
                    <a:blip r:embed="rId15"/>
                    <a:stretch>
                      <a:fillRect/>
                    </a:stretch>
                  </pic:blipFill>
                  <pic:spPr>
                    <a:xfrm>
                      <a:off x="0" y="0"/>
                      <a:ext cx="5759450" cy="2451735"/>
                    </a:xfrm>
                    <a:prstGeom prst="rect">
                      <a:avLst/>
                    </a:prstGeom>
                  </pic:spPr>
                </pic:pic>
              </a:graphicData>
            </a:graphic>
          </wp:inline>
        </w:drawing>
      </w:r>
    </w:p>
    <w:p w14:paraId="6E974C93" w14:textId="03533B50" w:rsidR="0011085D" w:rsidRPr="0011085D" w:rsidRDefault="0011085D" w:rsidP="0011085D">
      <w:pPr>
        <w:rPr>
          <w:i/>
          <w:iCs/>
          <w:sz w:val="16"/>
          <w:szCs w:val="16"/>
        </w:rPr>
      </w:pPr>
      <w:r w:rsidRPr="0011085D">
        <w:rPr>
          <w:i/>
          <w:iCs/>
          <w:sz w:val="16"/>
          <w:szCs w:val="16"/>
        </w:rPr>
        <w:t>Pouze pro ilustraci.</w:t>
      </w:r>
      <w:r>
        <w:rPr>
          <w:i/>
          <w:iCs/>
          <w:sz w:val="16"/>
          <w:szCs w:val="16"/>
        </w:rPr>
        <w:t xml:space="preserve"> </w:t>
      </w:r>
      <w:r w:rsidRPr="0011085D">
        <w:rPr>
          <w:i/>
          <w:iCs/>
          <w:sz w:val="16"/>
          <w:szCs w:val="16"/>
        </w:rPr>
        <w:t xml:space="preserve">Zdroj: </w:t>
      </w:r>
      <w:proofErr w:type="spellStart"/>
      <w:r w:rsidRPr="0011085D">
        <w:rPr>
          <w:i/>
          <w:iCs/>
          <w:sz w:val="16"/>
          <w:szCs w:val="16"/>
        </w:rPr>
        <w:t>Fidelity</w:t>
      </w:r>
      <w:proofErr w:type="spellEnd"/>
      <w:r w:rsidRPr="0011085D">
        <w:rPr>
          <w:i/>
          <w:iCs/>
          <w:sz w:val="16"/>
          <w:szCs w:val="16"/>
        </w:rPr>
        <w:t xml:space="preserve"> International, </w:t>
      </w:r>
      <w:proofErr w:type="spellStart"/>
      <w:r w:rsidRPr="0011085D">
        <w:rPr>
          <w:i/>
          <w:iCs/>
          <w:sz w:val="16"/>
          <w:szCs w:val="16"/>
        </w:rPr>
        <w:t>Bloomberg</w:t>
      </w:r>
      <w:proofErr w:type="spellEnd"/>
      <w:r w:rsidRPr="0011085D">
        <w:rPr>
          <w:i/>
          <w:iCs/>
          <w:sz w:val="16"/>
          <w:szCs w:val="16"/>
        </w:rPr>
        <w:t>, 31. prosince 2024.</w:t>
      </w:r>
    </w:p>
    <w:p w14:paraId="0E0AA63D" w14:textId="77777777" w:rsidR="00284D83" w:rsidRDefault="00284D83" w:rsidP="00284D83">
      <w:pPr>
        <w:rPr>
          <w:b/>
          <w:bCs/>
        </w:rPr>
      </w:pPr>
    </w:p>
    <w:p w14:paraId="70442937" w14:textId="77777777" w:rsidR="00284D83" w:rsidRDefault="00284D83" w:rsidP="00284D83">
      <w:pPr>
        <w:rPr>
          <w:b/>
          <w:bCs/>
        </w:rPr>
      </w:pPr>
    </w:p>
    <w:p w14:paraId="2707FC6A" w14:textId="77777777" w:rsidR="00284D83" w:rsidRDefault="00284D83" w:rsidP="00284D83">
      <w:pPr>
        <w:rPr>
          <w:b/>
          <w:bCs/>
        </w:rPr>
      </w:pPr>
    </w:p>
    <w:p w14:paraId="4214BCF0" w14:textId="77777777" w:rsidR="00284D83" w:rsidRDefault="00284D83" w:rsidP="00284D83">
      <w:pPr>
        <w:rPr>
          <w:b/>
          <w:bCs/>
        </w:rPr>
      </w:pPr>
    </w:p>
    <w:p w14:paraId="2D488538" w14:textId="77777777" w:rsidR="00284D83" w:rsidRDefault="00284D83" w:rsidP="00284D83">
      <w:pPr>
        <w:rPr>
          <w:b/>
          <w:bCs/>
        </w:rPr>
      </w:pPr>
    </w:p>
    <w:p w14:paraId="6B9C95B1" w14:textId="77777777" w:rsidR="00284D83" w:rsidRDefault="00284D83" w:rsidP="00284D83">
      <w:pPr>
        <w:rPr>
          <w:b/>
          <w:bCs/>
        </w:rPr>
      </w:pPr>
    </w:p>
    <w:p w14:paraId="18EA5645" w14:textId="77777777" w:rsidR="00284D83" w:rsidRDefault="00284D83" w:rsidP="00284D83">
      <w:pPr>
        <w:rPr>
          <w:b/>
          <w:bCs/>
        </w:rPr>
      </w:pPr>
    </w:p>
    <w:p w14:paraId="19B14B96" w14:textId="77777777" w:rsidR="00284D83" w:rsidRDefault="00284D83" w:rsidP="00284D83">
      <w:pPr>
        <w:rPr>
          <w:b/>
          <w:bCs/>
        </w:rPr>
      </w:pPr>
    </w:p>
    <w:p w14:paraId="3454421D" w14:textId="77777777" w:rsidR="00284D83" w:rsidRDefault="00284D83" w:rsidP="00284D83">
      <w:pPr>
        <w:rPr>
          <w:b/>
          <w:bCs/>
        </w:rPr>
      </w:pPr>
    </w:p>
    <w:p w14:paraId="04410C3A" w14:textId="77777777" w:rsidR="00284D83" w:rsidRDefault="00284D83" w:rsidP="00284D83">
      <w:pPr>
        <w:rPr>
          <w:b/>
          <w:bCs/>
        </w:rPr>
      </w:pPr>
    </w:p>
    <w:p w14:paraId="38AEED56" w14:textId="29D3CA8B" w:rsidR="00284D83" w:rsidRPr="00284D83" w:rsidRDefault="00284D83" w:rsidP="00284D83">
      <w:pPr>
        <w:rPr>
          <w:b/>
          <w:bCs/>
        </w:rPr>
      </w:pPr>
      <w:r w:rsidRPr="00805C33">
        <w:rPr>
          <w:b/>
          <w:bCs/>
        </w:rPr>
        <w:lastRenderedPageBreak/>
        <w:t>Obrázek 5: Klíčové informace o fondu</w:t>
      </w:r>
    </w:p>
    <w:p w14:paraId="6FBB60BA" w14:textId="0335D9E5" w:rsidR="006D31D9" w:rsidRDefault="00284D83" w:rsidP="002027ED">
      <w:pPr>
        <w:shd w:val="clear" w:color="auto" w:fill="FFFFFF"/>
        <w:spacing w:before="0" w:line="360" w:lineRule="atLeast"/>
        <w:rPr>
          <w:b/>
          <w:bCs/>
        </w:rPr>
      </w:pPr>
      <w:r w:rsidRPr="00284D83">
        <w:rPr>
          <w:noProof/>
        </w:rPr>
        <w:drawing>
          <wp:inline distT="0" distB="0" distL="0" distR="0" wp14:anchorId="43F4EB5A" wp14:editId="25F5A847">
            <wp:extent cx="5204460" cy="2216629"/>
            <wp:effectExtent l="0" t="0" r="0" b="0"/>
            <wp:docPr id="192425468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54685" name=""/>
                    <pic:cNvPicPr/>
                  </pic:nvPicPr>
                  <pic:blipFill>
                    <a:blip r:embed="rId16"/>
                    <a:stretch>
                      <a:fillRect/>
                    </a:stretch>
                  </pic:blipFill>
                  <pic:spPr>
                    <a:xfrm>
                      <a:off x="0" y="0"/>
                      <a:ext cx="5204460" cy="2216629"/>
                    </a:xfrm>
                    <a:prstGeom prst="rect">
                      <a:avLst/>
                    </a:prstGeom>
                  </pic:spPr>
                </pic:pic>
              </a:graphicData>
            </a:graphic>
          </wp:inline>
        </w:drawing>
      </w:r>
    </w:p>
    <w:p w14:paraId="6773320B" w14:textId="3D3BE10B" w:rsidR="00284D83" w:rsidRPr="00284D83" w:rsidRDefault="00284D83" w:rsidP="00284D83">
      <w:pPr>
        <w:rPr>
          <w:i/>
          <w:iCs/>
          <w:sz w:val="16"/>
          <w:szCs w:val="16"/>
        </w:rPr>
      </w:pPr>
      <w:r w:rsidRPr="00284D83">
        <w:rPr>
          <w:i/>
          <w:iCs/>
          <w:sz w:val="16"/>
          <w:szCs w:val="16"/>
        </w:rPr>
        <w:t xml:space="preserve">*Údaj o průběžných poplatcích (OCF) zahrnuje osvobození od poplatků ze strany správcovské společnosti, které se vztahuje na prvních šest měsíců od data uvedení ETF na trh nebo na prvních 500 milionů USD AUM investovaných do každého ETF. Vezměte prosím na vědomí, že hlavní OCF se nezmění, ale společnost spravující fond bude během uvedeného období nebo do dosažení dané hodnoty vybírat snížený poplatek. Hlavní OCF pro </w:t>
      </w:r>
      <w:proofErr w:type="spellStart"/>
      <w:r w:rsidRPr="00284D83">
        <w:rPr>
          <w:i/>
          <w:iCs/>
          <w:sz w:val="16"/>
          <w:szCs w:val="16"/>
        </w:rPr>
        <w:t>Fidelity</w:t>
      </w:r>
      <w:proofErr w:type="spellEnd"/>
      <w:r w:rsidRPr="00284D83">
        <w:rPr>
          <w:i/>
          <w:iCs/>
          <w:sz w:val="16"/>
          <w:szCs w:val="16"/>
        </w:rPr>
        <w:t xml:space="preserve"> US </w:t>
      </w:r>
      <w:proofErr w:type="spellStart"/>
      <w:r w:rsidRPr="00284D83">
        <w:rPr>
          <w:i/>
          <w:iCs/>
          <w:sz w:val="16"/>
          <w:szCs w:val="16"/>
        </w:rPr>
        <w:t>Quality</w:t>
      </w:r>
      <w:proofErr w:type="spellEnd"/>
      <w:r w:rsidRPr="00284D83">
        <w:rPr>
          <w:i/>
          <w:iCs/>
          <w:sz w:val="16"/>
          <w:szCs w:val="16"/>
        </w:rPr>
        <w:t xml:space="preserve"> </w:t>
      </w:r>
      <w:proofErr w:type="spellStart"/>
      <w:r w:rsidRPr="00284D83">
        <w:rPr>
          <w:i/>
          <w:iCs/>
          <w:sz w:val="16"/>
          <w:szCs w:val="16"/>
        </w:rPr>
        <w:t>Value</w:t>
      </w:r>
      <w:proofErr w:type="spellEnd"/>
      <w:r w:rsidRPr="00284D83">
        <w:rPr>
          <w:i/>
          <w:iCs/>
          <w:sz w:val="16"/>
          <w:szCs w:val="16"/>
        </w:rPr>
        <w:t xml:space="preserve"> UCITS ETF a </w:t>
      </w:r>
      <w:proofErr w:type="spellStart"/>
      <w:r w:rsidRPr="00284D83">
        <w:rPr>
          <w:i/>
          <w:iCs/>
          <w:sz w:val="16"/>
          <w:szCs w:val="16"/>
        </w:rPr>
        <w:t>Fidelity</w:t>
      </w:r>
      <w:proofErr w:type="spellEnd"/>
      <w:r w:rsidRPr="00284D83">
        <w:rPr>
          <w:i/>
          <w:iCs/>
          <w:sz w:val="16"/>
          <w:szCs w:val="16"/>
        </w:rPr>
        <w:t xml:space="preserve"> </w:t>
      </w:r>
      <w:proofErr w:type="spellStart"/>
      <w:r w:rsidRPr="00284D83">
        <w:rPr>
          <w:i/>
          <w:iCs/>
          <w:sz w:val="16"/>
          <w:szCs w:val="16"/>
        </w:rPr>
        <w:t>Global</w:t>
      </w:r>
      <w:proofErr w:type="spellEnd"/>
      <w:r w:rsidRPr="00284D83">
        <w:rPr>
          <w:i/>
          <w:iCs/>
          <w:sz w:val="16"/>
          <w:szCs w:val="16"/>
        </w:rPr>
        <w:t xml:space="preserve"> </w:t>
      </w:r>
      <w:proofErr w:type="spellStart"/>
      <w:r w:rsidRPr="00284D83">
        <w:rPr>
          <w:i/>
          <w:iCs/>
          <w:sz w:val="16"/>
          <w:szCs w:val="16"/>
        </w:rPr>
        <w:t>Quality</w:t>
      </w:r>
      <w:proofErr w:type="spellEnd"/>
      <w:r w:rsidRPr="00284D83">
        <w:rPr>
          <w:i/>
          <w:iCs/>
          <w:sz w:val="16"/>
          <w:szCs w:val="16"/>
        </w:rPr>
        <w:t xml:space="preserve"> </w:t>
      </w:r>
      <w:proofErr w:type="spellStart"/>
      <w:r w:rsidRPr="00284D83">
        <w:rPr>
          <w:i/>
          <w:iCs/>
          <w:sz w:val="16"/>
          <w:szCs w:val="16"/>
        </w:rPr>
        <w:t>Value</w:t>
      </w:r>
      <w:proofErr w:type="spellEnd"/>
      <w:r w:rsidRPr="00284D83">
        <w:rPr>
          <w:i/>
          <w:iCs/>
          <w:sz w:val="16"/>
          <w:szCs w:val="16"/>
        </w:rPr>
        <w:t xml:space="preserve"> UCITS ETF činí 0,25 %, resp. 0,40 %.</w:t>
      </w:r>
      <w:r>
        <w:rPr>
          <w:i/>
          <w:iCs/>
          <w:sz w:val="16"/>
          <w:szCs w:val="16"/>
        </w:rPr>
        <w:t xml:space="preserve"> </w:t>
      </w:r>
      <w:r w:rsidRPr="00284D83">
        <w:rPr>
          <w:i/>
          <w:iCs/>
          <w:sz w:val="16"/>
          <w:szCs w:val="16"/>
        </w:rPr>
        <w:t xml:space="preserve">Zdroj: </w:t>
      </w:r>
      <w:proofErr w:type="spellStart"/>
      <w:r w:rsidRPr="00284D83">
        <w:rPr>
          <w:i/>
          <w:iCs/>
          <w:sz w:val="16"/>
          <w:szCs w:val="16"/>
        </w:rPr>
        <w:t>Fidelity</w:t>
      </w:r>
      <w:proofErr w:type="spellEnd"/>
      <w:r w:rsidRPr="00284D83">
        <w:rPr>
          <w:i/>
          <w:iCs/>
          <w:sz w:val="16"/>
          <w:szCs w:val="16"/>
        </w:rPr>
        <w:t xml:space="preserve"> </w:t>
      </w:r>
      <w:proofErr w:type="spellStart"/>
      <w:r w:rsidRPr="00284D83">
        <w:rPr>
          <w:i/>
          <w:iCs/>
          <w:sz w:val="16"/>
          <w:szCs w:val="16"/>
        </w:rPr>
        <w:t>Fidelity</w:t>
      </w:r>
      <w:proofErr w:type="spellEnd"/>
      <w:r w:rsidRPr="00284D83">
        <w:rPr>
          <w:i/>
          <w:iCs/>
          <w:sz w:val="16"/>
          <w:szCs w:val="16"/>
        </w:rPr>
        <w:t xml:space="preserve">, </w:t>
      </w:r>
      <w:proofErr w:type="spellStart"/>
      <w:r w:rsidRPr="00284D83">
        <w:rPr>
          <w:i/>
          <w:iCs/>
          <w:sz w:val="16"/>
          <w:szCs w:val="16"/>
        </w:rPr>
        <w:t>a.s</w:t>
      </w:r>
      <w:proofErr w:type="spellEnd"/>
      <w:r w:rsidRPr="00284D83">
        <w:rPr>
          <w:i/>
          <w:iCs/>
          <w:sz w:val="16"/>
          <w:szCs w:val="16"/>
        </w:rPr>
        <w:t xml:space="preserve">: </w:t>
      </w:r>
      <w:proofErr w:type="spellStart"/>
      <w:r w:rsidRPr="00284D83">
        <w:rPr>
          <w:i/>
          <w:iCs/>
          <w:sz w:val="16"/>
          <w:szCs w:val="16"/>
        </w:rPr>
        <w:t>Fidelity</w:t>
      </w:r>
      <w:proofErr w:type="spellEnd"/>
      <w:r w:rsidRPr="00284D83">
        <w:rPr>
          <w:i/>
          <w:iCs/>
          <w:sz w:val="16"/>
          <w:szCs w:val="16"/>
        </w:rPr>
        <w:t xml:space="preserve"> International, 4. prosince 2024. **</w:t>
      </w:r>
      <w:proofErr w:type="spellStart"/>
      <w:r w:rsidRPr="00284D83">
        <w:rPr>
          <w:i/>
          <w:iCs/>
          <w:sz w:val="16"/>
          <w:szCs w:val="16"/>
        </w:rPr>
        <w:t>Borsa</w:t>
      </w:r>
      <w:proofErr w:type="spellEnd"/>
      <w:r w:rsidRPr="00284D83">
        <w:rPr>
          <w:i/>
          <w:iCs/>
          <w:sz w:val="16"/>
          <w:szCs w:val="16"/>
        </w:rPr>
        <w:t xml:space="preserve"> </w:t>
      </w:r>
      <w:proofErr w:type="spellStart"/>
      <w:r w:rsidRPr="00284D83">
        <w:rPr>
          <w:i/>
          <w:iCs/>
          <w:sz w:val="16"/>
          <w:szCs w:val="16"/>
        </w:rPr>
        <w:t>Italiana</w:t>
      </w:r>
      <w:proofErr w:type="spellEnd"/>
      <w:r w:rsidRPr="00284D83">
        <w:rPr>
          <w:i/>
          <w:iCs/>
          <w:sz w:val="16"/>
          <w:szCs w:val="16"/>
        </w:rPr>
        <w:t xml:space="preserve"> kótovaná od 1. čtvrtletí 2025.</w:t>
      </w:r>
    </w:p>
    <w:p w14:paraId="5F9F1627" w14:textId="77777777" w:rsidR="00284D83" w:rsidRPr="00284D83" w:rsidRDefault="00284D83" w:rsidP="00284D83">
      <w:pPr>
        <w:pStyle w:val="F2-zkladn"/>
      </w:pPr>
    </w:p>
    <w:p w14:paraId="1E84F3E1" w14:textId="77777777" w:rsidR="006D31D9" w:rsidRDefault="006D31D9" w:rsidP="006D31D9">
      <w:pPr>
        <w:spacing w:before="0" w:line="240" w:lineRule="atLeast"/>
        <w:rPr>
          <w:b/>
        </w:rPr>
      </w:pPr>
      <w:r w:rsidRPr="00455A3C">
        <w:rPr>
          <w:b/>
        </w:rPr>
        <w:t>Pro více informací kontaktujte:</w:t>
      </w:r>
    </w:p>
    <w:p w14:paraId="6D8CC146" w14:textId="77777777" w:rsidR="006D31D9" w:rsidRDefault="006D31D9" w:rsidP="006D31D9">
      <w:pPr>
        <w:spacing w:before="0" w:line="240" w:lineRule="atLeast"/>
        <w:rPr>
          <w:b/>
        </w:rPr>
      </w:pPr>
      <w:r>
        <w:rPr>
          <w:b/>
        </w:rPr>
        <w:t>Eliška Krohová</w:t>
      </w:r>
    </w:p>
    <w:p w14:paraId="4BDF7FA8" w14:textId="77777777" w:rsidR="006D31D9" w:rsidRPr="00455A3C" w:rsidRDefault="006D31D9" w:rsidP="006D31D9">
      <w:pPr>
        <w:spacing w:before="0" w:line="240" w:lineRule="atLeast"/>
        <w:rPr>
          <w:b/>
          <w:bCs/>
        </w:rPr>
      </w:pPr>
      <w:proofErr w:type="spellStart"/>
      <w:r w:rsidRPr="00455A3C">
        <w:rPr>
          <w:b/>
          <w:bCs/>
        </w:rPr>
        <w:t>Crest</w:t>
      </w:r>
      <w:proofErr w:type="spellEnd"/>
      <w:r w:rsidRPr="00455A3C">
        <w:rPr>
          <w:b/>
          <w:bCs/>
        </w:rPr>
        <w:t xml:space="preserve"> Communications, a.s.</w:t>
      </w:r>
    </w:p>
    <w:p w14:paraId="58313928" w14:textId="77777777" w:rsidR="006D31D9" w:rsidRPr="00455A3C" w:rsidRDefault="006D31D9" w:rsidP="006D31D9">
      <w:pPr>
        <w:spacing w:before="0" w:line="240" w:lineRule="atLeast"/>
      </w:pPr>
    </w:p>
    <w:p w14:paraId="736A874C" w14:textId="77777777" w:rsidR="006D31D9" w:rsidRPr="00455A3C" w:rsidRDefault="006D31D9" w:rsidP="006D31D9">
      <w:pPr>
        <w:spacing w:before="0" w:line="240" w:lineRule="atLeast"/>
      </w:pPr>
      <w:r w:rsidRPr="00455A3C">
        <w:t>Ostrovní 126/30</w:t>
      </w:r>
    </w:p>
    <w:p w14:paraId="58D571A8" w14:textId="77777777" w:rsidR="006D31D9" w:rsidRPr="00455A3C" w:rsidRDefault="006D31D9" w:rsidP="006D31D9">
      <w:pPr>
        <w:spacing w:before="0" w:line="240" w:lineRule="atLeast"/>
      </w:pPr>
      <w:r w:rsidRPr="00455A3C">
        <w:t>110 00 Praha 1</w:t>
      </w:r>
    </w:p>
    <w:p w14:paraId="0F762E66" w14:textId="77777777" w:rsidR="006D31D9" w:rsidRPr="00455A3C" w:rsidRDefault="006D31D9" w:rsidP="006D31D9">
      <w:pPr>
        <w:spacing w:before="0" w:line="240" w:lineRule="atLeast"/>
      </w:pPr>
      <w:proofErr w:type="spellStart"/>
      <w:r>
        <w:t>gsm</w:t>
      </w:r>
      <w:proofErr w:type="spellEnd"/>
      <w:r>
        <w:t>: + 420 720 406 659</w:t>
      </w:r>
    </w:p>
    <w:p w14:paraId="43DEB5E7" w14:textId="77777777" w:rsidR="006D31D9" w:rsidRDefault="006D31D9" w:rsidP="006D31D9">
      <w:pPr>
        <w:spacing w:before="0" w:line="240" w:lineRule="atLeast"/>
        <w:rPr>
          <w:rStyle w:val="Hypertextovodkaz"/>
        </w:rPr>
      </w:pPr>
      <w:r w:rsidRPr="00455A3C">
        <w:rPr>
          <w:color w:val="000000"/>
        </w:rPr>
        <w:t xml:space="preserve">e-mail: </w:t>
      </w:r>
      <w:hyperlink r:id="rId17" w:history="1">
        <w:r w:rsidRPr="00E23FD4">
          <w:rPr>
            <w:rStyle w:val="Hypertextovodkaz"/>
          </w:rPr>
          <w:t>eliska.krohova@crestcom.cz</w:t>
        </w:r>
      </w:hyperlink>
    </w:p>
    <w:p w14:paraId="38A6317D" w14:textId="77777777" w:rsidR="006D31D9" w:rsidRDefault="006D31D9" w:rsidP="002027ED">
      <w:pPr>
        <w:shd w:val="clear" w:color="auto" w:fill="FFFFFF"/>
        <w:spacing w:before="0" w:line="360" w:lineRule="atLeast"/>
        <w:rPr>
          <w:b/>
          <w:bCs/>
        </w:rPr>
      </w:pPr>
    </w:p>
    <w:p w14:paraId="621D7100" w14:textId="1F1441E4" w:rsidR="006D31D9" w:rsidRDefault="006D31D9" w:rsidP="002027ED">
      <w:pPr>
        <w:shd w:val="clear" w:color="auto" w:fill="FFFFFF"/>
        <w:spacing w:before="0" w:line="360" w:lineRule="atLeast"/>
        <w:rPr>
          <w:b/>
          <w:bCs/>
        </w:rPr>
      </w:pPr>
    </w:p>
    <w:p w14:paraId="163D8DC9" w14:textId="5AC5676C"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w:t>
      </w:r>
      <w:r w:rsidRPr="00D404D5">
        <w:rPr>
          <w:color w:val="000000"/>
          <w:lang w:eastAsia="en-US"/>
        </w:rPr>
        <w:lastRenderedPageBreak/>
        <w:t>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236BAAE4"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w:t>
      </w:r>
      <w:r>
        <w:lastRenderedPageBreak/>
        <w:t xml:space="preserve">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6A9C6E7A" w:rsidR="00D20058" w:rsidRDefault="007C62B9" w:rsidP="00154229">
      <w:pPr>
        <w:pStyle w:val="F2-zkladn"/>
      </w:pPr>
      <w:r w:rsidRPr="007C62B9">
        <w:rPr>
          <w:lang w:val="de-AT"/>
        </w:rPr>
        <w:t>MKAT12734</w:t>
      </w:r>
    </w:p>
    <w:sectPr w:rsidR="00D20058" w:rsidSect="00F50497">
      <w:headerReference w:type="default" r:id="rId18"/>
      <w:footerReference w:type="default" r:id="rId19"/>
      <w:headerReference w:type="first" r:id="rId20"/>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D4E9B" w14:textId="77777777" w:rsidR="000B51EB" w:rsidRDefault="000B51EB">
      <w:r>
        <w:separator/>
      </w:r>
    </w:p>
  </w:endnote>
  <w:endnote w:type="continuationSeparator" w:id="0">
    <w:p w14:paraId="7B4A77B6" w14:textId="77777777" w:rsidR="000B51EB" w:rsidRDefault="000B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44C6A" w14:textId="77777777" w:rsidR="000B51EB" w:rsidRDefault="000B51EB">
      <w:r>
        <w:separator/>
      </w:r>
    </w:p>
  </w:footnote>
  <w:footnote w:type="continuationSeparator" w:id="0">
    <w:p w14:paraId="2D4AE30A" w14:textId="77777777" w:rsidR="000B51EB" w:rsidRDefault="000B51EB">
      <w:r>
        <w:continuationSeparator/>
      </w:r>
    </w:p>
  </w:footnote>
  <w:footnote w:type="continuationNotice" w:id="1">
    <w:p w14:paraId="43DDC6EF" w14:textId="77777777" w:rsidR="000B51EB" w:rsidRDefault="000B51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7A71D6C"/>
    <w:multiLevelType w:val="hybridMultilevel"/>
    <w:tmpl w:val="AE961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B73A26"/>
    <w:multiLevelType w:val="hybridMultilevel"/>
    <w:tmpl w:val="2C40FD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9627A67"/>
    <w:multiLevelType w:val="hybridMultilevel"/>
    <w:tmpl w:val="39EA25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7"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6800DB"/>
    <w:multiLevelType w:val="hybridMultilevel"/>
    <w:tmpl w:val="B8760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E0A2C93"/>
    <w:multiLevelType w:val="hybridMultilevel"/>
    <w:tmpl w:val="6570EE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3033605">
    <w:abstractNumId w:val="17"/>
  </w:num>
  <w:num w:numId="2" w16cid:durableId="146671352">
    <w:abstractNumId w:val="36"/>
  </w:num>
  <w:num w:numId="3" w16cid:durableId="1266381172">
    <w:abstractNumId w:val="44"/>
  </w:num>
  <w:num w:numId="4" w16cid:durableId="1719279861">
    <w:abstractNumId w:val="24"/>
  </w:num>
  <w:num w:numId="5" w16cid:durableId="118620334">
    <w:abstractNumId w:val="26"/>
  </w:num>
  <w:num w:numId="6" w16cid:durableId="1824814676">
    <w:abstractNumId w:val="22"/>
  </w:num>
  <w:num w:numId="7" w16cid:durableId="1926299718">
    <w:abstractNumId w:val="42"/>
  </w:num>
  <w:num w:numId="8" w16cid:durableId="1498184102">
    <w:abstractNumId w:val="29"/>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4"/>
  </w:num>
  <w:num w:numId="22" w16cid:durableId="2069836537">
    <w:abstractNumId w:val="12"/>
  </w:num>
  <w:num w:numId="23" w16cid:durableId="1663701074">
    <w:abstractNumId w:val="10"/>
  </w:num>
  <w:num w:numId="24" w16cid:durableId="661811107">
    <w:abstractNumId w:val="13"/>
  </w:num>
  <w:num w:numId="25" w16cid:durableId="367528897">
    <w:abstractNumId w:val="20"/>
  </w:num>
  <w:num w:numId="26" w16cid:durableId="66655553">
    <w:abstractNumId w:val="41"/>
  </w:num>
  <w:num w:numId="27" w16cid:durableId="1412049229">
    <w:abstractNumId w:val="33"/>
  </w:num>
  <w:num w:numId="28" w16cid:durableId="1854563770">
    <w:abstractNumId w:val="21"/>
  </w:num>
  <w:num w:numId="29" w16cid:durableId="1511022718">
    <w:abstractNumId w:val="23"/>
  </w:num>
  <w:num w:numId="30" w16cid:durableId="189878341">
    <w:abstractNumId w:val="25"/>
  </w:num>
  <w:num w:numId="31" w16cid:durableId="408891146">
    <w:abstractNumId w:val="35"/>
  </w:num>
  <w:num w:numId="32" w16cid:durableId="668292118">
    <w:abstractNumId w:val="45"/>
  </w:num>
  <w:num w:numId="33" w16cid:durableId="1545678938">
    <w:abstractNumId w:val="32"/>
  </w:num>
  <w:num w:numId="34" w16cid:durableId="334190881">
    <w:abstractNumId w:val="43"/>
  </w:num>
  <w:num w:numId="35" w16cid:durableId="867832294">
    <w:abstractNumId w:val="47"/>
  </w:num>
  <w:num w:numId="36" w16cid:durableId="1707019958">
    <w:abstractNumId w:val="14"/>
  </w:num>
  <w:num w:numId="37" w16cid:durableId="1229464119">
    <w:abstractNumId w:val="40"/>
  </w:num>
  <w:num w:numId="38" w16cid:durableId="1404453976">
    <w:abstractNumId w:val="16"/>
  </w:num>
  <w:num w:numId="39" w16cid:durableId="639572714">
    <w:abstractNumId w:val="30"/>
  </w:num>
  <w:num w:numId="40" w16cid:durableId="1181239656">
    <w:abstractNumId w:val="37"/>
  </w:num>
  <w:num w:numId="41" w16cid:durableId="1776094729">
    <w:abstractNumId w:val="46"/>
  </w:num>
  <w:num w:numId="42" w16cid:durableId="58788658">
    <w:abstractNumId w:val="27"/>
  </w:num>
  <w:num w:numId="43" w16cid:durableId="1389382411">
    <w:abstractNumId w:val="39"/>
  </w:num>
  <w:num w:numId="44" w16cid:durableId="608975387">
    <w:abstractNumId w:val="19"/>
  </w:num>
  <w:num w:numId="45" w16cid:durableId="77678656">
    <w:abstractNumId w:val="48"/>
  </w:num>
  <w:num w:numId="46" w16cid:durableId="168758274">
    <w:abstractNumId w:val="38"/>
  </w:num>
  <w:num w:numId="47" w16cid:durableId="1247224458">
    <w:abstractNumId w:val="31"/>
  </w:num>
  <w:num w:numId="48" w16cid:durableId="437212441">
    <w:abstractNumId w:val="18"/>
  </w:num>
  <w:num w:numId="49" w16cid:durableId="1095831192">
    <w:abstractNumId w:val="49"/>
  </w:num>
  <w:num w:numId="50" w16cid:durableId="2049990179">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6816"/>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1EB"/>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2FF"/>
    <w:rsid w:val="000E4ADE"/>
    <w:rsid w:val="000E5D25"/>
    <w:rsid w:val="000E7127"/>
    <w:rsid w:val="000E7418"/>
    <w:rsid w:val="000F02A2"/>
    <w:rsid w:val="000F0587"/>
    <w:rsid w:val="000F1AE6"/>
    <w:rsid w:val="000F2147"/>
    <w:rsid w:val="000F2443"/>
    <w:rsid w:val="000F274E"/>
    <w:rsid w:val="000F27E1"/>
    <w:rsid w:val="000F330C"/>
    <w:rsid w:val="000F4953"/>
    <w:rsid w:val="000F5A28"/>
    <w:rsid w:val="000F5BBC"/>
    <w:rsid w:val="000F687B"/>
    <w:rsid w:val="000F75AD"/>
    <w:rsid w:val="000F75F1"/>
    <w:rsid w:val="000F7C86"/>
    <w:rsid w:val="0010078F"/>
    <w:rsid w:val="00102DF4"/>
    <w:rsid w:val="0011085D"/>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56AB9"/>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84D83"/>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C6A"/>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E98"/>
    <w:rsid w:val="00344296"/>
    <w:rsid w:val="00346522"/>
    <w:rsid w:val="00347B43"/>
    <w:rsid w:val="0035034F"/>
    <w:rsid w:val="00351441"/>
    <w:rsid w:val="003524F1"/>
    <w:rsid w:val="00352768"/>
    <w:rsid w:val="00352D8D"/>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004D"/>
    <w:rsid w:val="004113D5"/>
    <w:rsid w:val="004118D0"/>
    <w:rsid w:val="004125BB"/>
    <w:rsid w:val="00412819"/>
    <w:rsid w:val="0041337E"/>
    <w:rsid w:val="004177E3"/>
    <w:rsid w:val="004202CB"/>
    <w:rsid w:val="004205FB"/>
    <w:rsid w:val="00420D53"/>
    <w:rsid w:val="004224B6"/>
    <w:rsid w:val="004235A0"/>
    <w:rsid w:val="004238B6"/>
    <w:rsid w:val="00423C1E"/>
    <w:rsid w:val="00423C6F"/>
    <w:rsid w:val="00424771"/>
    <w:rsid w:val="00425B35"/>
    <w:rsid w:val="004273ED"/>
    <w:rsid w:val="00427801"/>
    <w:rsid w:val="004278C3"/>
    <w:rsid w:val="0043115E"/>
    <w:rsid w:val="00431E52"/>
    <w:rsid w:val="00433AB4"/>
    <w:rsid w:val="004347CE"/>
    <w:rsid w:val="0043546F"/>
    <w:rsid w:val="004370DA"/>
    <w:rsid w:val="00440AB9"/>
    <w:rsid w:val="004428A1"/>
    <w:rsid w:val="004430F8"/>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3E14"/>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2620"/>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5AA9"/>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31D9"/>
    <w:rsid w:val="006D4517"/>
    <w:rsid w:val="006D5F3A"/>
    <w:rsid w:val="006D6BCD"/>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40B"/>
    <w:rsid w:val="0070043C"/>
    <w:rsid w:val="007004B5"/>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33D"/>
    <w:rsid w:val="00750405"/>
    <w:rsid w:val="007507C1"/>
    <w:rsid w:val="00751546"/>
    <w:rsid w:val="007541CE"/>
    <w:rsid w:val="007545E5"/>
    <w:rsid w:val="00755577"/>
    <w:rsid w:val="00755878"/>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62B9"/>
    <w:rsid w:val="007C730D"/>
    <w:rsid w:val="007C7393"/>
    <w:rsid w:val="007D0C6A"/>
    <w:rsid w:val="007D391B"/>
    <w:rsid w:val="007D3B29"/>
    <w:rsid w:val="007D43E6"/>
    <w:rsid w:val="007D4EC6"/>
    <w:rsid w:val="007D5CD8"/>
    <w:rsid w:val="007D613C"/>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50166"/>
    <w:rsid w:val="00850650"/>
    <w:rsid w:val="00850E5D"/>
    <w:rsid w:val="00851E91"/>
    <w:rsid w:val="008524C4"/>
    <w:rsid w:val="0085268C"/>
    <w:rsid w:val="00854ABD"/>
    <w:rsid w:val="00856ED6"/>
    <w:rsid w:val="00861070"/>
    <w:rsid w:val="00862CAD"/>
    <w:rsid w:val="00863C3C"/>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04B"/>
    <w:rsid w:val="00900CE5"/>
    <w:rsid w:val="00901E9B"/>
    <w:rsid w:val="00902BBA"/>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3E57"/>
    <w:rsid w:val="00954170"/>
    <w:rsid w:val="0095420F"/>
    <w:rsid w:val="00954CC0"/>
    <w:rsid w:val="00955BB4"/>
    <w:rsid w:val="00955C25"/>
    <w:rsid w:val="00956BB5"/>
    <w:rsid w:val="009572E5"/>
    <w:rsid w:val="00957676"/>
    <w:rsid w:val="009617E7"/>
    <w:rsid w:val="009621B2"/>
    <w:rsid w:val="009624EA"/>
    <w:rsid w:val="00963A1A"/>
    <w:rsid w:val="00963E1E"/>
    <w:rsid w:val="00964590"/>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85F03"/>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C07"/>
    <w:rsid w:val="00D260E2"/>
    <w:rsid w:val="00D26951"/>
    <w:rsid w:val="00D2779E"/>
    <w:rsid w:val="00D27FD3"/>
    <w:rsid w:val="00D325C8"/>
    <w:rsid w:val="00D32759"/>
    <w:rsid w:val="00D340A4"/>
    <w:rsid w:val="00D340CA"/>
    <w:rsid w:val="00D34291"/>
    <w:rsid w:val="00D3438A"/>
    <w:rsid w:val="00D404D5"/>
    <w:rsid w:val="00D40A73"/>
    <w:rsid w:val="00D40EA0"/>
    <w:rsid w:val="00D41193"/>
    <w:rsid w:val="00D4162D"/>
    <w:rsid w:val="00D4240E"/>
    <w:rsid w:val="00D42F1B"/>
    <w:rsid w:val="00D4392D"/>
    <w:rsid w:val="00D45F62"/>
    <w:rsid w:val="00D5110F"/>
    <w:rsid w:val="00D513E0"/>
    <w:rsid w:val="00D5168F"/>
    <w:rsid w:val="00D524BC"/>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27D73"/>
    <w:rsid w:val="00E33737"/>
    <w:rsid w:val="00E33CD1"/>
    <w:rsid w:val="00E40C06"/>
    <w:rsid w:val="00E40F6F"/>
    <w:rsid w:val="00E42717"/>
    <w:rsid w:val="00E43DFA"/>
    <w:rsid w:val="00E43E30"/>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13"/>
    <w:rsid w:val="00E926EA"/>
    <w:rsid w:val="00E932CE"/>
    <w:rsid w:val="00E9330B"/>
    <w:rsid w:val="00E937F2"/>
    <w:rsid w:val="00E96BC6"/>
    <w:rsid w:val="00E976C6"/>
    <w:rsid w:val="00EA00F3"/>
    <w:rsid w:val="00EA07A3"/>
    <w:rsid w:val="00EA0FFB"/>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eliska.krohova@crestcom.cz"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2129</Words>
  <Characters>12565</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14665</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2025-01-21T12:32:00Z</dcterms:created>
  <dcterms:modified xsi:type="dcterms:W3CDTF">2025-01-21T12:32:00Z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